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43" w:type="dxa"/>
        <w:tblInd w:w="519" w:type="dxa"/>
        <w:tblLayout w:type="fixed"/>
        <w:tblLook w:val="04A0" w:firstRow="1" w:lastRow="0" w:firstColumn="1" w:lastColumn="0" w:noHBand="0" w:noVBand="1"/>
      </w:tblPr>
      <w:tblGrid>
        <w:gridCol w:w="7342"/>
        <w:gridCol w:w="1701"/>
      </w:tblGrid>
      <w:tr w:rsidR="00F17265" w:rsidRPr="00B03C77" w:rsidTr="00DA0395">
        <w:trPr>
          <w:trHeight w:val="456"/>
        </w:trPr>
        <w:tc>
          <w:tcPr>
            <w:tcW w:w="7342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b/>
              </w:rPr>
            </w:pPr>
          </w:p>
          <w:p w:rsidR="00F17265" w:rsidRPr="00B03C77" w:rsidRDefault="00F17265" w:rsidP="00EE1EE5">
            <w:pPr>
              <w:jc w:val="center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 xml:space="preserve">ESTADOS FINANCIEROS DEL  </w:t>
            </w:r>
            <w:r w:rsidR="00EE1EE5">
              <w:rPr>
                <w:rFonts w:ascii="Branding Medium" w:hAnsi="Branding Medium"/>
                <w:b/>
              </w:rPr>
              <w:t xml:space="preserve">SEGUNDO </w:t>
            </w:r>
            <w:r w:rsidRPr="00B03C77">
              <w:rPr>
                <w:rFonts w:ascii="Branding Medium" w:hAnsi="Branding Medium"/>
                <w:b/>
              </w:rPr>
              <w:t>TRIMESTRE 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</w:rPr>
            </w:pPr>
            <w:r w:rsidRPr="00B03C77">
              <w:rPr>
                <w:rFonts w:ascii="Branding Medium" w:hAnsi="Branding Medium"/>
              </w:rPr>
              <w:t>FOJAS</w:t>
            </w:r>
          </w:p>
        </w:tc>
      </w:tr>
      <w:tr w:rsidR="00F17265" w:rsidRPr="00B03C77" w:rsidTr="00DA0395">
        <w:tc>
          <w:tcPr>
            <w:tcW w:w="7342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Información Contable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</w:tc>
        <w:bookmarkStart w:id="0" w:name="_GoBack"/>
        <w:bookmarkEnd w:id="0"/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1.- Estado de Situación Financiera  del 1 de enero al 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 30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 (dos)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2.- Estado de Actividades del 1 de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 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junio 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 (dos)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3.- Estado de Variación en la Hacienda pública del 1 de Enero al 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</w:t>
            </w:r>
            <w:r>
              <w:rPr>
                <w:rFonts w:ascii="Branding Medium" w:hAnsi="Branding Medium"/>
                <w:sz w:val="20"/>
                <w:szCs w:val="20"/>
              </w:rPr>
              <w:t>1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(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uno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4.- Estado de Cambio en la Situación Financiera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5.- Estado de Flujo de Efectivo del 1 de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6.-  Estado Analítico del Activo 1 de Enero al 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7.- Estado Analítico de la Deuda y Otros Pasivos del 1 de Enero al 3</w:t>
            </w:r>
            <w:r>
              <w:rPr>
                <w:rFonts w:ascii="Branding Medium" w:hAnsi="Branding Medium"/>
                <w:sz w:val="20"/>
                <w:szCs w:val="20"/>
              </w:rPr>
              <w:t>0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 2019 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8.- Informe sobre Pasivo Contingentes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9.- Notas a los Estados Financieros  del 1 de enero al 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27 (veintisiete)</w:t>
            </w:r>
          </w:p>
        </w:tc>
      </w:tr>
      <w:tr w:rsidR="00F17265" w:rsidRPr="00B03C77" w:rsidTr="00DA0395">
        <w:tc>
          <w:tcPr>
            <w:tcW w:w="7342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Información Presupuestaria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b/>
                <w:sz w:val="20"/>
                <w:szCs w:val="20"/>
              </w:rPr>
            </w:pP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10.- Estado Analítico de Ingresos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 30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 (dos)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11.- Estado Analítico del Ejercicio del Presupuesto de Egresos Clasificación por Objeto del Gasto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 junio 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3 (tres)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12.- Estado Analítico del Ejercicio del Presupuesto de Egresos Clasificación Económica (Tipo de Gasto) del 1 de 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13.- Estado Analítico del Ejercicio del Presupuesto de Egresos Clasificación Administrativa del 1 de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 junio 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14.- Estado Analítico del Ejercicio del Presupuesto de Egresos Clasificación Funcional del 1 de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 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15.- Endeudamiento Neto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16.- Intereses de la Deuda del 1 de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 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 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17.- Flujo de Fondos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rPr>
          <w:trHeight w:val="438"/>
        </w:trPr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18.- Ampliaciones y Reducciones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7265" w:rsidRDefault="00F17265" w:rsidP="00DA0395">
            <w:pPr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    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     2( dos)</w:t>
            </w: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F17265" w:rsidRPr="00B03C77" w:rsidTr="00DA0395">
        <w:trPr>
          <w:trHeight w:val="438"/>
        </w:trPr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b/>
                <w:color w:val="808080" w:themeColor="background1" w:themeShade="80"/>
                <w:highlight w:val="lightGray"/>
              </w:rPr>
            </w:pPr>
            <w:r w:rsidRPr="00B03C77">
              <w:rPr>
                <w:rFonts w:ascii="Branding Medium" w:hAnsi="Branding Medium"/>
                <w:b/>
                <w:highlight w:val="lightGray"/>
              </w:rPr>
              <w:t>Información Programática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rPr>
                <w:rFonts w:ascii="Branding Medium" w:hAnsi="Branding Medium"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19.- Gasto por Categoría Programática del 1 de Enero al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 30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20.- Programas y Proyecto de Inversión del 1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21.-Indicadores de Resultados del 1 Enero al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 xml:space="preserve">10 (diez) </w:t>
            </w:r>
          </w:p>
        </w:tc>
      </w:tr>
      <w:tr w:rsidR="00F17265" w:rsidRPr="00B03C77" w:rsidTr="00DA0395">
        <w:tc>
          <w:tcPr>
            <w:tcW w:w="7342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b/>
              </w:rPr>
            </w:pPr>
            <w:r w:rsidRPr="00B03C77">
              <w:rPr>
                <w:rFonts w:ascii="Branding Medium" w:hAnsi="Branding Medium"/>
                <w:b/>
              </w:rPr>
              <w:t>Anexos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22.- Relación de Bienes Muebles del 1 de enero al  3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2019</w:t>
            </w:r>
          </w:p>
        </w:tc>
        <w:tc>
          <w:tcPr>
            <w:tcW w:w="1701" w:type="dxa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15 (quince)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23.- Relación de Bienes Inmuebles 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24.- Relación de Cuentas Bancarias Productivas Especificas del 1 de Enero al 3</w:t>
            </w:r>
            <w:r>
              <w:rPr>
                <w:rFonts w:ascii="Branding Medium" w:hAnsi="Branding Medium"/>
                <w:sz w:val="20"/>
                <w:szCs w:val="20"/>
              </w:rPr>
              <w:t>0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del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25.- Formato del Ejercicio y Destino de Gasto Federalizado y Reintegros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junio 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26.- Relación de Esquemas Bursátiles y de Coberturas Financieras 1 de Enero al 3</w:t>
            </w:r>
            <w:r>
              <w:rPr>
                <w:rFonts w:ascii="Branding Medium" w:hAnsi="Branding Medium"/>
                <w:sz w:val="20"/>
                <w:szCs w:val="20"/>
              </w:rPr>
              <w:t>0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de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27.- Resultado de evaluación del desempeño de los programas federales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 xml:space="preserve">28.- Formatos de la Ley de Disciplina Financiera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 de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13 (  trece)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lastRenderedPageBreak/>
              <w:t xml:space="preserve">29.- </w:t>
            </w:r>
            <w:r w:rsidRPr="000D7EA1">
              <w:rPr>
                <w:rFonts w:ascii="Branding Medium" w:hAnsi="Branding Medium"/>
                <w:sz w:val="20"/>
                <w:szCs w:val="20"/>
              </w:rPr>
              <w:t>Guía de Cumplimiento de la LDF de las Entidades Federativas y Municipio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30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.- Montos Pagados por Ayudas y Subsidios del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 de  junio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 2019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 xml:space="preserve">5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(</w:t>
            </w:r>
            <w:r>
              <w:rPr>
                <w:rFonts w:ascii="Branding Medium" w:hAnsi="Branding Medium"/>
                <w:sz w:val="20"/>
                <w:szCs w:val="20"/>
              </w:rPr>
              <w:t>cinco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)</w:t>
            </w:r>
          </w:p>
        </w:tc>
      </w:tr>
      <w:tr w:rsidR="00F17265" w:rsidRPr="00B03C77" w:rsidTr="00DA0395">
        <w:tc>
          <w:tcPr>
            <w:tcW w:w="7342" w:type="dxa"/>
          </w:tcPr>
          <w:p w:rsidR="00F17265" w:rsidRPr="00B03C77" w:rsidRDefault="00F17265" w:rsidP="00DA0395">
            <w:pPr>
              <w:jc w:val="both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31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.- Formato de Programas con Recursos Concurrentes Por Orden de Gobierno del  1 de Enero al </w:t>
            </w:r>
            <w:r>
              <w:rPr>
                <w:rFonts w:ascii="Branding Medium" w:hAnsi="Branding Medium"/>
                <w:sz w:val="20"/>
                <w:szCs w:val="20"/>
              </w:rPr>
              <w:t xml:space="preserve">30  de junio  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>del 2019.</w:t>
            </w:r>
          </w:p>
        </w:tc>
        <w:tc>
          <w:tcPr>
            <w:tcW w:w="1701" w:type="dxa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1 (uno)</w:t>
            </w:r>
          </w:p>
        </w:tc>
      </w:tr>
      <w:tr w:rsidR="00F17265" w:rsidRPr="00B03C77" w:rsidTr="00DA0395">
        <w:trPr>
          <w:trHeight w:val="513"/>
        </w:trPr>
        <w:tc>
          <w:tcPr>
            <w:tcW w:w="7342" w:type="dxa"/>
            <w:shd w:val="clear" w:color="auto" w:fill="BFBFBF" w:themeFill="background1" w:themeFillShade="BF"/>
          </w:tcPr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 w:rsidRPr="00B03C77">
              <w:rPr>
                <w:rFonts w:ascii="Branding Medium" w:hAnsi="Branding Medium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17265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</w:p>
          <w:p w:rsidR="00F17265" w:rsidRPr="00B03C77" w:rsidRDefault="00F17265" w:rsidP="00DA0395">
            <w:pPr>
              <w:jc w:val="center"/>
              <w:rPr>
                <w:rFonts w:ascii="Branding Medium" w:hAnsi="Branding Medium"/>
                <w:sz w:val="20"/>
                <w:szCs w:val="20"/>
              </w:rPr>
            </w:pPr>
            <w:r>
              <w:rPr>
                <w:rFonts w:ascii="Branding Medium" w:hAnsi="Branding Medium"/>
                <w:sz w:val="20"/>
                <w:szCs w:val="20"/>
              </w:rPr>
              <w:t>102  ( ciento dos fojas )</w:t>
            </w:r>
            <w:r w:rsidRPr="00B03C77">
              <w:rPr>
                <w:rFonts w:ascii="Branding Medium" w:hAnsi="Branding Medium"/>
                <w:sz w:val="20"/>
                <w:szCs w:val="20"/>
              </w:rPr>
              <w:t xml:space="preserve">             </w:t>
            </w:r>
          </w:p>
        </w:tc>
      </w:tr>
    </w:tbl>
    <w:p w:rsidR="001D2C4A" w:rsidRDefault="001D2C4A"/>
    <w:sectPr w:rsidR="001D2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ing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65"/>
    <w:rsid w:val="001D2C4A"/>
    <w:rsid w:val="00EE1EE5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3CAD-58E9-4FEC-BA23-D8D27436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RecFinLaptop</dc:creator>
  <cp:keywords/>
  <dc:description/>
  <cp:lastModifiedBy>RecFinLaptop</cp:lastModifiedBy>
  <cp:revision>2</cp:revision>
  <dcterms:created xsi:type="dcterms:W3CDTF">2019-08-02T18:39:00Z</dcterms:created>
  <dcterms:modified xsi:type="dcterms:W3CDTF">2019-08-02T18:45:00Z</dcterms:modified>
</cp:coreProperties>
</file>