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D3" w:rsidRPr="00AD0BD3" w:rsidRDefault="00AD0BD3" w:rsidP="00AD0BD3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s-MX"/>
        </w:rPr>
      </w:pPr>
      <w:r w:rsidRPr="00AD0BD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s-MX"/>
        </w:rPr>
        <w:t>INFORMACIÓN CONTABLE</w:t>
      </w:r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4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1.- Estado situación financiera al 31 de marzo de 2018.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5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2.- Estado de actividades del 1 de enero al 31 de marzo de 2018.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6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3.- Estado de variación en la hacienda pública del 1 de enero al 31 de marzo de 2018.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7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4.- Estado de cambios en la situación financiera d</w:t>
        </w:r>
        <w:r w:rsidR="00F87F61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8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5.- Estado de flujo de efectivo d</w:t>
        </w:r>
        <w:r w:rsidR="00F87F61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9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6.- Estado analítico del activo de</w:t>
        </w:r>
        <w:r w:rsidR="00F87F61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10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7.- Estado analítico de la deuda y otros pasivos d</w:t>
        </w:r>
        <w:r w:rsidR="00F87F61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11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8.- Informe sobre pasivos contingentes d</w:t>
        </w:r>
        <w:r w:rsidR="00271DC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12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9.- Notas a los estados</w:t>
        </w:r>
        <w:r w:rsidR="00271DC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 financieros al 31 de marzo de 2018 y 31 de marzo 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2017.</w:t>
        </w:r>
      </w:hyperlink>
    </w:p>
    <w:p w:rsidR="00AD0BD3" w:rsidRPr="00AD0BD3" w:rsidRDefault="00AD0BD3" w:rsidP="00AD0BD3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s-MX"/>
        </w:rPr>
      </w:pPr>
      <w:r w:rsidRPr="00AD0BD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s-MX"/>
        </w:rPr>
        <w:t>INFORMACIÓN PRESUPUESTARIA</w:t>
      </w:r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bdr w:val="none" w:sz="0" w:space="0" w:color="auto" w:frame="1"/>
          <w:lang w:eastAsia="es-MX"/>
        </w:rPr>
      </w:pPr>
      <w:hyperlink r:id="rId13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10.- Estado analítico de ingresos </w:t>
        </w:r>
        <w:r w:rsidR="00032FD9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presupuestales 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del 1 de </w:t>
        </w:r>
        <w:r w:rsidR="00032FD9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14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11.- Estado analítico del ejercicio del presupuesto de egresos clasificación por objeto del gasto d</w:t>
        </w:r>
        <w:r w:rsidR="00032FD9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15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12.- Estado analítico del ejercicio del presupuesto de egresos clasificación económica (tipo de gasto) d</w:t>
        </w:r>
        <w:r w:rsidR="00032FD9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16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13.- Estado analítico del ejercicio del presupuesto de egresos clasificación administrativa d</w:t>
        </w:r>
        <w:r w:rsidR="00032FD9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17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14.- Estado analítico del ejercicio del presupuesto de egresos clasificación funcional d</w:t>
        </w:r>
        <w:r w:rsidR="00032FD9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18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15.- Endeudamiento neto d</w:t>
        </w:r>
        <w:r w:rsidR="00550781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19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16.- Intereses de la deuda d</w:t>
        </w:r>
        <w:r w:rsidR="00AC70AE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0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17.- Flujo de fondos d</w:t>
        </w:r>
        <w:r w:rsidR="00AC70AE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1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18.- Ampliaciones </w:t>
        </w:r>
        <w:r w:rsidR="00AC70AE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y reducciones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AD0BD3" w:rsidRDefault="00AD0BD3" w:rsidP="00AD0BD3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s-MX"/>
        </w:rPr>
      </w:pPr>
      <w:r w:rsidRPr="00AD0BD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s-MX"/>
        </w:rPr>
        <w:t>INFORMACIÓN PROGRAMÁTICA</w:t>
      </w:r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2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19.- Gastos por categoría programática del 1 de enero al 31 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3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20.- Programas y proyectos de inversión del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4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21.- Indicadores de resultados d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AD0BD3" w:rsidRDefault="00AD0BD3" w:rsidP="00AD0BD3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s-MX"/>
        </w:rPr>
      </w:pPr>
      <w:r w:rsidRPr="00AD0BD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es-MX"/>
        </w:rPr>
        <w:t>ANEXOS</w:t>
      </w:r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5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22.- Libro de inventario de biene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s muebles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6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23.- Relación de 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bienes inmuebles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7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24.- Relación de cuentas bancarias productivas especificas d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 de 201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8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25.- Formato del ejercicio y destino del gasto federalizado y reintegros d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29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26.- Relación de esquemas bursátiles y de coberturas financieras d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30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27.- Resultado de evaluación de desempeño de los programas federales de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31" w:history="1"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28.- Formatos de la ley de disciplina financiera d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 xml:space="preserve">el 1 de enero al 31 de marzo de 2018 </w:t>
        </w:r>
      </w:hyperlink>
    </w:p>
    <w:p w:rsidR="00AD0BD3" w:rsidRPr="002967DB" w:rsidRDefault="00C82FDF" w:rsidP="00AD0BD3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  <w:hyperlink r:id="rId32" w:history="1"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29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.- Montos pagados por ayudas y subsidios d</w:t>
        </w:r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el 1 de enero al 31 de marzo de 2018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</w:t>
        </w:r>
      </w:hyperlink>
    </w:p>
    <w:p w:rsidR="00B30CF0" w:rsidRPr="002967DB" w:rsidRDefault="00B30CF0" w:rsidP="00B30CF0">
      <w:pPr>
        <w:spacing w:after="0" w:line="408" w:lineRule="atLeast"/>
        <w:textAlignment w:val="baseline"/>
        <w:rPr>
          <w:rFonts w:eastAsia="Times New Roman" w:cs="Times New Roman"/>
          <w:color w:val="7030A0"/>
          <w:sz w:val="24"/>
          <w:szCs w:val="24"/>
          <w:lang w:eastAsia="es-MX"/>
        </w:rPr>
      </w:pPr>
    </w:p>
    <w:p w:rsidR="00AD0BD3" w:rsidRPr="002967DB" w:rsidRDefault="00C82FDF" w:rsidP="00B30CF0">
      <w:pPr>
        <w:spacing w:after="0" w:line="408" w:lineRule="atLeast"/>
        <w:textAlignment w:val="baseline"/>
        <w:rPr>
          <w:rFonts w:eastAsia="Times New Roman" w:cs="Arial"/>
          <w:vanish/>
          <w:color w:val="7030A0"/>
          <w:sz w:val="24"/>
          <w:szCs w:val="24"/>
          <w:lang w:eastAsia="es-MX"/>
        </w:rPr>
      </w:pPr>
      <w:hyperlink r:id="rId33" w:history="1">
        <w:r w:rsidR="00213DB8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30</w:t>
        </w:r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.- Formato de programas con recursos concurrent</w:t>
        </w:r>
        <w:bookmarkStart w:id="0" w:name="_GoBack"/>
        <w:bookmarkEnd w:id="0"/>
        <w:r w:rsidR="00AD0BD3" w:rsidRPr="002967DB">
          <w:rPr>
            <w:rFonts w:eastAsia="Times New Roman" w:cs="Times New Roman"/>
            <w:color w:val="7030A0"/>
            <w:sz w:val="24"/>
            <w:szCs w:val="24"/>
            <w:bdr w:val="none" w:sz="0" w:space="0" w:color="auto" w:frame="1"/>
            <w:lang w:eastAsia="es-MX"/>
          </w:rPr>
          <w:t>es por orden de gobierno</w:t>
        </w:r>
      </w:hyperlink>
      <w:r w:rsidR="00B30CF0" w:rsidRPr="002967DB">
        <w:rPr>
          <w:rFonts w:eastAsia="Times New Roman" w:cs="Times New Roman"/>
          <w:color w:val="7030A0"/>
          <w:sz w:val="24"/>
          <w:szCs w:val="24"/>
          <w:lang w:eastAsia="es-MX"/>
        </w:rPr>
        <w:t xml:space="preserve"> del 1 de enero al 31 de marzo de 2018</w:t>
      </w:r>
      <w:r w:rsidR="00B30CF0" w:rsidRPr="002967DB">
        <w:rPr>
          <w:rFonts w:eastAsia="Times New Roman" w:cs="Arial"/>
          <w:vanish/>
          <w:color w:val="7030A0"/>
          <w:sz w:val="24"/>
          <w:szCs w:val="24"/>
          <w:lang w:eastAsia="es-MX"/>
        </w:rPr>
        <w:t xml:space="preserve"> </w:t>
      </w:r>
    </w:p>
    <w:p w:rsidR="00764BD8" w:rsidRPr="002967DB" w:rsidRDefault="00764BD8">
      <w:pPr>
        <w:rPr>
          <w:color w:val="7030A0"/>
          <w:sz w:val="24"/>
          <w:szCs w:val="24"/>
        </w:rPr>
      </w:pPr>
    </w:p>
    <w:sectPr w:rsidR="00764BD8" w:rsidRPr="002967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D3"/>
    <w:rsid w:val="00032FD9"/>
    <w:rsid w:val="00213DB8"/>
    <w:rsid w:val="00271DC3"/>
    <w:rsid w:val="002967DB"/>
    <w:rsid w:val="00550781"/>
    <w:rsid w:val="00764BD8"/>
    <w:rsid w:val="00AC70AE"/>
    <w:rsid w:val="00AD0BD3"/>
    <w:rsid w:val="00B30CF0"/>
    <w:rsid w:val="00F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4BF30-AE0E-4B82-A5F0-0B9018C6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D0BD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D0BD3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D0B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D0BD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D0B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D0BD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9978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32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fmunicipalcampeche.org/trans/PAGINA%20TRANSPARENCIA%202017/ENERO%20-%20DICIEMBRE%202017/INFORMACION%20PRESUPUESTARIA/10_EDO_ANALITICO_INGRESOS_PRESUPUESTALES_31DIC2017.pdf" TargetMode="External"/><Relationship Id="rId18" Type="http://schemas.openxmlformats.org/officeDocument/2006/relationships/hyperlink" Target="http://www.difmunicipalcampeche.org/trans/PAGINA%20TRANSPARENCIA%202017/ENERO%20-%20DICIEMBRE%202017/INFORMACION%20PRESUPUESTARIA/15_EDEUDAMIENTO_NETO_31DIC2017.pdf" TargetMode="External"/><Relationship Id="rId26" Type="http://schemas.openxmlformats.org/officeDocument/2006/relationships/hyperlink" Target="http://www.difmunicipalcampeche.org/trans/PAGINA%20TRANSPARENCIA%202017/ENERO%20-%20DICIEMBRE%202017/ANEXOS/23_BIENES_INMUEBLES_PATRIMONIO_31DIC201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ifmunicipalcampeche.org/trans/PAGINA%20TRANSPARENCIA%202017/ENERO%20-%20DICIEMBRE%202017/INFORMACION%20PRESUPUESTARIA/18_AMPLIACIONES_Y_REDUCCIONES_31DIC2017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ifmunicipalcampeche.org/trans/PAGINA%20TRANSPARENCIA%202017/ENERO%20-%20DICIEMBRE%202017/INFORMACION%20CONTABLE/4_EDO_CAMBIOS_SITUACION_FINANCIERA_31_DIC_2017.pdf" TargetMode="External"/><Relationship Id="rId12" Type="http://schemas.openxmlformats.org/officeDocument/2006/relationships/hyperlink" Target="http://www.difmunicipalcampeche.org/trans/PAGINA%20TRANSPARENCIA%202017/ENERO%20-%20DICIEMBRE%202017/INFORMACION%20CONTABLE/9_NOTAS_EDOS_FINANCIEROS_31DIC2017.pdf" TargetMode="External"/><Relationship Id="rId17" Type="http://schemas.openxmlformats.org/officeDocument/2006/relationships/hyperlink" Target="http://www.difmunicipalcampeche.org/trans/PAGINA%20TRANSPARENCIA%202017/ENERO%20-%20DICIEMBRE%202017/INFORMACION%20PRESUPUESTARIA/14_EDO_ANALITICO_PRES_EGRESOS_CLASIFFUNCIONAL_31DIC2017.pdf" TargetMode="External"/><Relationship Id="rId25" Type="http://schemas.openxmlformats.org/officeDocument/2006/relationships/hyperlink" Target="http://www.difmunicipalcampeche.org/trans/PAGINA%20TRANSPARENCIA%202017/ENERO%20-%20DICIEMBRE%202017/ANEXOS/22_LIBRO_INVENTARIOS_BIENES_MUEBLES_31DIC2017.pdf" TargetMode="External"/><Relationship Id="rId33" Type="http://schemas.openxmlformats.org/officeDocument/2006/relationships/hyperlink" Target="http://www.difmunicipalcampeche.org/trans/PAGINA%20TRANSPARENCIA%202017/ENERO%20-%20DICIEMBRE%202017/ANEXOS/31_PROGR_REC_CONCURRENTE_ORDEN_GOBIERNO_31DIC201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fmunicipalcampeche.org/trans/PAGINA%20TRANSPARENCIA%202017/ENERO%20-%20DICIEMBRE%202017/INFORMACION%20PRESUPUESTARIA/13_EDO_ANALITICO_PRES_EGRESOS_CLASIFADMINISTRATIVA_31DIC2017.pdf" TargetMode="External"/><Relationship Id="rId20" Type="http://schemas.openxmlformats.org/officeDocument/2006/relationships/hyperlink" Target="http://www.difmunicipalcampeche.org/trans/PAGINA%20TRANSPARENCIA%202017/ENERO%20-%20DICIEMBRE%202017/INFORMACION%20PRESUPUESTARIA/17_FLUJO_DE_FONDOS_31DIC2017.pdf" TargetMode="External"/><Relationship Id="rId29" Type="http://schemas.openxmlformats.org/officeDocument/2006/relationships/hyperlink" Target="http://www.difmunicipalcampeche.org/trans/PAGINA%20TRANSPARENCIA%202017/ENERO%20-%20DICIEMBRE%202017/ANEXOS/26_ESQUEMAS_BURSATILES_COBERTURA_FINANCIERA_31DIF201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fmunicipalcampeche.org/trans/PAGINA%20TRANSPARENCIA%202017/ENERO%20-%20DICIEMBRE%202017/INFORMACION%20CONTABLE/3_EDO_VARIACION_HACIENDA_AL_31_DIC_2017.pdf" TargetMode="External"/><Relationship Id="rId11" Type="http://schemas.openxmlformats.org/officeDocument/2006/relationships/hyperlink" Target="http://www.difmunicipalcampeche.org/trans/PAGINA%20TRANSPARENCIA%202017/ENERO%20-%20DICIEMBRE%202017/INFORMACION%20CONTABLE/8_INFORMES_PASIVOS_CONTINGENTES_31DIC2017.pdf" TargetMode="External"/><Relationship Id="rId24" Type="http://schemas.openxmlformats.org/officeDocument/2006/relationships/hyperlink" Target="http://www.difmunicipalcampeche.org/trans/PAGINA%20TRANSPARENCIA%202017/ENERO%20-%20DICIEMBRE%202017/INFORMACION%20PROGRAMATICA/21_INDICADORES_RESULTADOS_31DIC2017.pdf" TargetMode="External"/><Relationship Id="rId32" Type="http://schemas.openxmlformats.org/officeDocument/2006/relationships/hyperlink" Target="http://www.difmunicipalcampeche.org/trans/PAGINA%20TRANSPARENCIA%202017/ENERO%20-%20DICIEMBRE%202017/ANEXOS/30_MONTOS_PAGADOS_AYUDAS_SUBSIDIOS_31DIC2017.pdf" TargetMode="External"/><Relationship Id="rId5" Type="http://schemas.openxmlformats.org/officeDocument/2006/relationships/hyperlink" Target="http://www.difmunicipalcampeche.org/trans/PAGINA%20TRANSPARENCIA%202017/ENERO%20-%20DICIEMBRE%202017/INFORMACION%20CONTABLE/2_EDO_DE_ACTIVIDADES_31_DIC_2017.pdf" TargetMode="External"/><Relationship Id="rId15" Type="http://schemas.openxmlformats.org/officeDocument/2006/relationships/hyperlink" Target="http://www.difmunicipalcampeche.org/trans/PAGINA%20TRANSPARENCIA%202017/ENERO%20-%20DICIEMBRE%202017/INFORMACION%20PRESUPUESTARIA/12_EDO_ANALITICO_PRES_EGRESOS_CLASIFECONOMICA_31DIC2017.pdf" TargetMode="External"/><Relationship Id="rId23" Type="http://schemas.openxmlformats.org/officeDocument/2006/relationships/hyperlink" Target="http://www.difmunicipalcampeche.org/trans/PAGINA%20TRANSPARENCIA%202017/ENERO%20-%20DICIEMBRE%202017/INFORMACION%20PROGRAMATICA/20_PROGRAMAS_PROYECTOS_INVERSION_31DIC2017.pdf" TargetMode="External"/><Relationship Id="rId28" Type="http://schemas.openxmlformats.org/officeDocument/2006/relationships/hyperlink" Target="http://www.difmunicipalcampeche.org/trans/PAGINA%20TRANSPARENCIA%202017/ENERO%20-%20DICIEMBRE%202017/ANEXOS/25_EJERC_DESTINO_GASTO_FEDERALIZDO_REINTEGROS_31DIC2017.pdf" TargetMode="External"/><Relationship Id="rId10" Type="http://schemas.openxmlformats.org/officeDocument/2006/relationships/hyperlink" Target="http://www.difmunicipalcampeche.org/trans/PAGINA%20TRANSPARENCIA%202017/ENERO%20-%20DICIEMBRE%202017/INFORMACION%20CONTABLE/7_EDO_ANALITICO_DEUDA_PASIVOS_31DIC2017.pdf" TargetMode="External"/><Relationship Id="rId19" Type="http://schemas.openxmlformats.org/officeDocument/2006/relationships/hyperlink" Target="http://www.difmunicipalcampeche.org/trans/PAGINA%20TRANSPARENCIA%202017/ENERO%20-%20DICIEMBRE%202017/INFORMACION%20PRESUPUESTARIA/16_INTERESES_DEUDA_31DIC2017.pdf" TargetMode="External"/><Relationship Id="rId31" Type="http://schemas.openxmlformats.org/officeDocument/2006/relationships/hyperlink" Target="http://www.difmunicipalcampeche.org/trans/PAGINA%20TRANSPARENCIA%202017/ENERO%20-%20DICIEMBRE%202017/ANEXOS/28_LEY_DISIPLINA_FINANCIERA_31DIC2017.pdf" TargetMode="External"/><Relationship Id="rId4" Type="http://schemas.openxmlformats.org/officeDocument/2006/relationships/hyperlink" Target="http://www.difmunicipalcampeche.org/trans/PAGINA%20TRANSPARENCIA%202017/ENERO%20-%20DICIEMBRE%202017/INFORMACION%20CONTABLE/1_EDO_SITUACION_FINANCIERA_31_DIC_2017.pdf" TargetMode="External"/><Relationship Id="rId9" Type="http://schemas.openxmlformats.org/officeDocument/2006/relationships/hyperlink" Target="http://www.difmunicipalcampeche.org/trans/PAGINA%20TRANSPARENCIA%202017/ENERO%20-%20DICIEMBRE%202017/INFORMACION%20CONTABLE/6_EDO_ANALITICO_ACTIVO_31_DIC_2017.pdf" TargetMode="External"/><Relationship Id="rId14" Type="http://schemas.openxmlformats.org/officeDocument/2006/relationships/hyperlink" Target="http://www.difmunicipalcampeche.org/trans/PAGINA%20TRANSPARENCIA%202017/ENERO%20-%20DICIEMBRE%202017/INFORMACION%20PRESUPUESTARIA/11_EDO_ANALITICO_PRES_EGRESOS_OBJETODELGASTO_31DIC2017.pdf" TargetMode="External"/><Relationship Id="rId22" Type="http://schemas.openxmlformats.org/officeDocument/2006/relationships/hyperlink" Target="http://www.difmunicipalcampeche.org/trans/PAGINA%20TRANSPARENCIA%202017/ENERO%20-%20DICIEMBRE%202017/INFORMACION%20PROGRAMATICA/19_GASTO_CATEGORIA_PROGRAMATICA_31DIC2017.pdf" TargetMode="External"/><Relationship Id="rId27" Type="http://schemas.openxmlformats.org/officeDocument/2006/relationships/hyperlink" Target="http://www.difmunicipalcampeche.org/trans/PAGINA%20TRANSPARENCIA%202017/ENERO%20-%20DICIEMBRE%202017/ANEXOS/24_RELACION_CUENTAS_BANCARIS_PROD_ESPECIFICAS_31DIC2017.pdf" TargetMode="External"/><Relationship Id="rId30" Type="http://schemas.openxmlformats.org/officeDocument/2006/relationships/hyperlink" Target="http://www.difmunicipalcampeche.org/trans/PAGINA%20TRANSPARENCIA%202017/ENERO%20-%20DICIEMBRE%202017/ANEXOS/27_EVALU_DESEMPE%C3%91O_PROGRAMAS_FEDERALES_31DIC2017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difmunicipalcampeche.org/trans/PAGINA%20TRANSPARENCIA%202017/ENERO%20-%20DICIEMBRE%202017/INFORMACION%20CONTABLE/5_EDO_FLUJO_EFECTIVO_31_DIC_201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MUNICIPAL</dc:creator>
  <cp:keywords/>
  <dc:description/>
  <cp:lastModifiedBy>DIF MUNICIPAL</cp:lastModifiedBy>
  <cp:revision>10</cp:revision>
  <dcterms:created xsi:type="dcterms:W3CDTF">2018-04-30T17:39:00Z</dcterms:created>
  <dcterms:modified xsi:type="dcterms:W3CDTF">2018-04-30T18:01:00Z</dcterms:modified>
</cp:coreProperties>
</file>